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DE" w:rsidRDefault="00A62756" w:rsidP="005866AB">
      <w:pPr>
        <w:spacing w:line="240" w:lineRule="auto"/>
        <w:rPr>
          <w:rFonts w:ascii="Arial" w:hAnsi="Arial" w:cs="Arial"/>
          <w:b/>
          <w:lang w:val="fr-FR"/>
        </w:rPr>
      </w:pPr>
      <w:r w:rsidRPr="00A62756">
        <w:rPr>
          <w:rFonts w:ascii="Arial" w:hAnsi="Arial" w:cs="Arial"/>
          <w:b/>
          <w:lang w:val="fr-FR"/>
        </w:rPr>
        <w:t xml:space="preserve">Aide-mémoire : coopération universitaire avec l' « </w:t>
      </w:r>
      <w:proofErr w:type="spellStart"/>
      <w:r w:rsidRPr="00A62756">
        <w:rPr>
          <w:rFonts w:ascii="Arial" w:hAnsi="Arial" w:cs="Arial"/>
          <w:b/>
          <w:lang w:val="fr-FR"/>
        </w:rPr>
        <w:t>African</w:t>
      </w:r>
      <w:proofErr w:type="spellEnd"/>
      <w:r w:rsidRPr="00A62756">
        <w:rPr>
          <w:rFonts w:ascii="Arial" w:hAnsi="Arial" w:cs="Arial"/>
          <w:b/>
          <w:lang w:val="fr-FR"/>
        </w:rPr>
        <w:t xml:space="preserve"> Institute for </w:t>
      </w:r>
      <w:proofErr w:type="spellStart"/>
      <w:r w:rsidRPr="00A62756">
        <w:rPr>
          <w:rFonts w:ascii="Arial" w:hAnsi="Arial" w:cs="Arial"/>
          <w:b/>
          <w:lang w:val="fr-FR"/>
        </w:rPr>
        <w:t>Mathematical</w:t>
      </w:r>
      <w:proofErr w:type="spellEnd"/>
      <w:r w:rsidRPr="00A62756">
        <w:rPr>
          <w:rFonts w:ascii="Arial" w:hAnsi="Arial" w:cs="Arial"/>
          <w:b/>
          <w:lang w:val="fr-FR"/>
        </w:rPr>
        <w:t xml:space="preserve"> Sciences (AIMS) » au Sénégal </w:t>
      </w:r>
    </w:p>
    <w:p w:rsidR="00A62756" w:rsidRPr="00A62756" w:rsidRDefault="00A62756" w:rsidP="005866AB">
      <w:pPr>
        <w:spacing w:line="240" w:lineRule="auto"/>
        <w:rPr>
          <w:rFonts w:ascii="Arial" w:hAnsi="Arial" w:cs="Arial"/>
          <w:b/>
          <w:lang w:val="fr-FR"/>
        </w:rPr>
      </w:pPr>
      <w:r w:rsidRPr="00A62756">
        <w:rPr>
          <w:rFonts w:ascii="Arial" w:hAnsi="Arial" w:cs="Arial"/>
          <w:b/>
          <w:lang w:val="fr-FR"/>
        </w:rPr>
        <w:t>1.</w:t>
      </w:r>
      <w:r w:rsidRPr="00A62756">
        <w:rPr>
          <w:rFonts w:ascii="Arial" w:hAnsi="Arial" w:cs="Arial"/>
          <w:b/>
          <w:lang w:val="fr-FR"/>
        </w:rPr>
        <w:tab/>
        <w:t>Remarques générales</w:t>
      </w:r>
    </w:p>
    <w:p w:rsidR="00831EBA" w:rsidRPr="00A62756" w:rsidRDefault="00A62756" w:rsidP="005866AB">
      <w:pPr>
        <w:spacing w:line="240" w:lineRule="auto"/>
        <w:rPr>
          <w:rFonts w:ascii="Arial" w:hAnsi="Arial" w:cs="Arial"/>
          <w:lang w:val="fr-FR"/>
        </w:rPr>
      </w:pPr>
      <w:r w:rsidRPr="00A62756">
        <w:rPr>
          <w:rFonts w:ascii="Arial" w:hAnsi="Arial" w:cs="Arial"/>
          <w:lang w:val="fr-FR"/>
        </w:rPr>
        <w:t xml:space="preserve">La bourse passe par un contrat de subventions (financement complet) entre le DAAD et l'établissement supérieur allemand qui en fait la demande ou l'institut de recherche </w:t>
      </w:r>
      <w:proofErr w:type="spellStart"/>
      <w:r w:rsidRPr="00A62756">
        <w:rPr>
          <w:rFonts w:ascii="Arial" w:hAnsi="Arial" w:cs="Arial"/>
          <w:lang w:val="fr-FR"/>
        </w:rPr>
        <w:t>extrauniversitaire</w:t>
      </w:r>
      <w:proofErr w:type="spellEnd"/>
      <w:r w:rsidRPr="00A62756">
        <w:rPr>
          <w:rFonts w:ascii="Arial" w:hAnsi="Arial" w:cs="Arial"/>
          <w:lang w:val="fr-FR"/>
        </w:rPr>
        <w:t xml:space="preserve"> qui nomme un scientifique comme chef de projet</w:t>
      </w:r>
      <w:r w:rsidR="009D2F08" w:rsidRPr="00A62756">
        <w:rPr>
          <w:rFonts w:ascii="Arial" w:hAnsi="Arial" w:cs="Arial"/>
          <w:lang w:val="fr-FR"/>
        </w:rPr>
        <w:t xml:space="preserve">. </w:t>
      </w:r>
    </w:p>
    <w:p w:rsidR="009D2F08" w:rsidRPr="00A62756" w:rsidRDefault="00A62756" w:rsidP="005866AB">
      <w:pPr>
        <w:spacing w:line="240" w:lineRule="auto"/>
        <w:rPr>
          <w:rFonts w:ascii="Arial" w:hAnsi="Arial" w:cs="Arial"/>
          <w:lang w:val="fr-FR"/>
        </w:rPr>
      </w:pPr>
      <w:r w:rsidRPr="00A62756">
        <w:rPr>
          <w:rFonts w:ascii="Arial" w:hAnsi="Arial" w:cs="Arial"/>
          <w:lang w:val="fr-FR"/>
        </w:rPr>
        <w:t>L'utilisation convenable des moyens est à justifier chaque année au moyen d'une preuve intermédiaire et d'un rapport</w:t>
      </w:r>
      <w:r w:rsidR="009D2F08" w:rsidRPr="00A62756">
        <w:rPr>
          <w:rFonts w:ascii="Arial" w:hAnsi="Arial" w:cs="Arial"/>
          <w:lang w:val="fr-FR"/>
        </w:rPr>
        <w:t xml:space="preserve">. </w:t>
      </w:r>
    </w:p>
    <w:p w:rsidR="0065599E" w:rsidRPr="00A62756" w:rsidRDefault="00A62756" w:rsidP="005866AB">
      <w:pPr>
        <w:spacing w:line="240" w:lineRule="auto"/>
        <w:rPr>
          <w:rFonts w:ascii="Arial" w:hAnsi="Arial" w:cs="Arial"/>
          <w:lang w:val="fr-FR"/>
        </w:rPr>
      </w:pPr>
      <w:r w:rsidRPr="00A62756">
        <w:rPr>
          <w:rFonts w:ascii="Arial" w:hAnsi="Arial" w:cs="Arial"/>
          <w:lang w:val="fr-FR"/>
        </w:rPr>
        <w:t>Les forfaits mentionnés sont valables pour toute la période octroyée</w:t>
      </w:r>
      <w:r w:rsidR="00475972" w:rsidRPr="00A62756">
        <w:rPr>
          <w:rFonts w:ascii="Arial" w:hAnsi="Arial" w:cs="Arial"/>
          <w:lang w:val="fr-FR"/>
        </w:rPr>
        <w:t xml:space="preserve">. </w:t>
      </w:r>
    </w:p>
    <w:p w:rsidR="009D2F08" w:rsidRPr="00A62756" w:rsidRDefault="00A62756" w:rsidP="00A62756">
      <w:pPr>
        <w:pStyle w:val="Listenabsatz"/>
        <w:numPr>
          <w:ilvl w:val="0"/>
          <w:numId w:val="4"/>
        </w:numPr>
        <w:spacing w:line="240" w:lineRule="auto"/>
        <w:ind w:left="709" w:hanging="709"/>
        <w:rPr>
          <w:rFonts w:ascii="Arial" w:hAnsi="Arial" w:cs="Arial"/>
          <w:b/>
          <w:lang w:val="fr-FR"/>
        </w:rPr>
      </w:pPr>
      <w:r w:rsidRPr="00A62756">
        <w:rPr>
          <w:rFonts w:ascii="Arial" w:hAnsi="Arial" w:cs="Arial"/>
          <w:b/>
          <w:lang w:val="fr-FR"/>
        </w:rPr>
        <w:t>Séjours d'enseignement et de recherche</w:t>
      </w:r>
    </w:p>
    <w:p w:rsidR="001C33C4" w:rsidRPr="00A62756" w:rsidRDefault="00A62756" w:rsidP="005866AB">
      <w:pPr>
        <w:spacing w:line="240" w:lineRule="auto"/>
        <w:rPr>
          <w:rFonts w:ascii="Arial" w:hAnsi="Arial" w:cs="Arial"/>
          <w:lang w:val="fr-FR"/>
        </w:rPr>
      </w:pPr>
      <w:r w:rsidRPr="00A62756">
        <w:rPr>
          <w:rFonts w:ascii="Arial" w:hAnsi="Arial" w:cs="Arial"/>
          <w:lang w:val="fr-FR"/>
        </w:rPr>
        <w:t xml:space="preserve">Mensualités accordées aux doctorants, </w:t>
      </w:r>
      <w:proofErr w:type="spellStart"/>
      <w:r w:rsidRPr="00A62756">
        <w:rPr>
          <w:rFonts w:ascii="Arial" w:hAnsi="Arial" w:cs="Arial"/>
          <w:lang w:val="fr-FR"/>
        </w:rPr>
        <w:t>postdoctorants</w:t>
      </w:r>
      <w:proofErr w:type="spellEnd"/>
      <w:r w:rsidRPr="00A62756">
        <w:rPr>
          <w:rFonts w:ascii="Arial" w:hAnsi="Arial" w:cs="Arial"/>
          <w:lang w:val="fr-FR"/>
        </w:rPr>
        <w:t xml:space="preserve">, enseignants-chercheurs et scientifiques se rendant au Sénégal pour des séjours d'enseignement et de recherche d'une durée maximale de 3 mois </w:t>
      </w:r>
      <w:r w:rsidR="00130696" w:rsidRPr="00A62756">
        <w:rPr>
          <w:rFonts w:ascii="Arial" w:hAnsi="Arial" w:cs="Arial"/>
          <w:lang w:val="fr-FR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33C4" w:rsidRPr="00A62756" w:rsidTr="00130696">
        <w:tc>
          <w:tcPr>
            <w:tcW w:w="3070" w:type="dxa"/>
          </w:tcPr>
          <w:p w:rsidR="001C33C4" w:rsidRPr="00A62756" w:rsidRDefault="00A62756" w:rsidP="005866AB">
            <w:pPr>
              <w:rPr>
                <w:rFonts w:ascii="Arial" w:hAnsi="Arial" w:cs="Arial"/>
                <w:u w:val="single"/>
                <w:lang w:val="fr-FR"/>
              </w:rPr>
            </w:pPr>
            <w:r w:rsidRPr="00A62756">
              <w:rPr>
                <w:rFonts w:ascii="Arial" w:hAnsi="Arial" w:cs="Arial"/>
                <w:u w:val="single"/>
                <w:lang w:val="fr-FR"/>
              </w:rPr>
              <w:t>Doctorants</w:t>
            </w:r>
          </w:p>
        </w:tc>
        <w:tc>
          <w:tcPr>
            <w:tcW w:w="3071" w:type="dxa"/>
          </w:tcPr>
          <w:p w:rsidR="001C33C4" w:rsidRPr="00A62756" w:rsidRDefault="00A62756" w:rsidP="005866AB">
            <w:pPr>
              <w:rPr>
                <w:rFonts w:ascii="Arial" w:hAnsi="Arial" w:cs="Arial"/>
                <w:u w:val="single"/>
                <w:lang w:val="fr-FR"/>
              </w:rPr>
            </w:pPr>
            <w:proofErr w:type="spellStart"/>
            <w:r w:rsidRPr="00A62756">
              <w:rPr>
                <w:rFonts w:ascii="Arial" w:hAnsi="Arial" w:cs="Arial"/>
                <w:u w:val="single"/>
                <w:lang w:val="fr-FR"/>
              </w:rPr>
              <w:t>Postdoctorants</w:t>
            </w:r>
            <w:proofErr w:type="spellEnd"/>
          </w:p>
        </w:tc>
        <w:tc>
          <w:tcPr>
            <w:tcW w:w="3071" w:type="dxa"/>
          </w:tcPr>
          <w:p w:rsidR="001C33C4" w:rsidRPr="00A62756" w:rsidRDefault="00A62756" w:rsidP="005866AB">
            <w:pPr>
              <w:rPr>
                <w:rFonts w:ascii="Arial" w:hAnsi="Arial" w:cs="Arial"/>
                <w:u w:val="single"/>
                <w:lang w:val="fr-FR"/>
              </w:rPr>
            </w:pPr>
            <w:r w:rsidRPr="00A62756">
              <w:rPr>
                <w:rFonts w:ascii="Arial" w:hAnsi="Arial" w:cs="Arial"/>
                <w:u w:val="single"/>
                <w:lang w:val="fr-FR"/>
              </w:rPr>
              <w:t>Enseignants-chercheurs</w:t>
            </w:r>
            <w:r w:rsidR="00130696" w:rsidRPr="00A62756">
              <w:rPr>
                <w:rFonts w:ascii="Arial" w:hAnsi="Arial" w:cs="Arial"/>
                <w:u w:val="single"/>
                <w:lang w:val="fr-FR"/>
              </w:rPr>
              <w:t xml:space="preserve">, </w:t>
            </w:r>
            <w:r w:rsidRPr="00FD5292">
              <w:rPr>
                <w:rStyle w:val="Flietext"/>
                <w:lang w:val="fr-FR"/>
              </w:rPr>
              <w:t>Scientifiques</w:t>
            </w:r>
            <w:r w:rsidRPr="00FD5292">
              <w:rPr>
                <w:lang w:val="fr-FR"/>
              </w:rPr>
              <w:t xml:space="preserve"> </w:t>
            </w:r>
          </w:p>
        </w:tc>
      </w:tr>
      <w:tr w:rsidR="001C33C4" w:rsidRPr="00A62756" w:rsidTr="00130696">
        <w:tc>
          <w:tcPr>
            <w:tcW w:w="3070" w:type="dxa"/>
          </w:tcPr>
          <w:p w:rsidR="001C33C4" w:rsidRPr="00A62756" w:rsidRDefault="001C33C4" w:rsidP="005866AB">
            <w:pPr>
              <w:rPr>
                <w:rFonts w:ascii="Arial" w:hAnsi="Arial" w:cs="Arial"/>
                <w:lang w:val="fr-FR"/>
              </w:rPr>
            </w:pPr>
            <w:r w:rsidRPr="00A62756">
              <w:rPr>
                <w:rFonts w:ascii="Arial" w:hAnsi="Arial" w:cs="Arial"/>
                <w:lang w:val="fr-FR"/>
              </w:rPr>
              <w:t>€ 1.200</w:t>
            </w:r>
            <w:proofErr w:type="gramStart"/>
            <w:r w:rsidRPr="00A62756">
              <w:rPr>
                <w:rFonts w:ascii="Arial" w:hAnsi="Arial" w:cs="Arial"/>
                <w:lang w:val="fr-FR"/>
              </w:rPr>
              <w:t>,--</w:t>
            </w:r>
            <w:proofErr w:type="gramEnd"/>
          </w:p>
        </w:tc>
        <w:tc>
          <w:tcPr>
            <w:tcW w:w="3071" w:type="dxa"/>
          </w:tcPr>
          <w:p w:rsidR="001C33C4" w:rsidRPr="00A62756" w:rsidRDefault="005866AB" w:rsidP="008950AD">
            <w:pPr>
              <w:rPr>
                <w:rFonts w:ascii="Arial" w:hAnsi="Arial" w:cs="Arial"/>
                <w:lang w:val="fr-FR"/>
              </w:rPr>
            </w:pPr>
            <w:r w:rsidRPr="00A62756">
              <w:rPr>
                <w:rFonts w:ascii="Arial" w:hAnsi="Arial" w:cs="Arial"/>
                <w:lang w:val="fr-FR"/>
              </w:rPr>
              <w:t xml:space="preserve">€ </w:t>
            </w:r>
            <w:r w:rsidR="008950AD" w:rsidRPr="00A62756">
              <w:rPr>
                <w:rFonts w:ascii="Arial" w:hAnsi="Arial" w:cs="Arial"/>
                <w:lang w:val="fr-FR"/>
              </w:rPr>
              <w:t>1.400</w:t>
            </w:r>
            <w:proofErr w:type="gramStart"/>
            <w:r w:rsidRPr="00A62756">
              <w:rPr>
                <w:rFonts w:ascii="Arial" w:hAnsi="Arial" w:cs="Arial"/>
                <w:lang w:val="fr-FR"/>
              </w:rPr>
              <w:t>,--</w:t>
            </w:r>
            <w:proofErr w:type="gramEnd"/>
          </w:p>
        </w:tc>
        <w:tc>
          <w:tcPr>
            <w:tcW w:w="3071" w:type="dxa"/>
          </w:tcPr>
          <w:p w:rsidR="001C33C4" w:rsidRPr="00A62756" w:rsidRDefault="005866AB" w:rsidP="005866AB">
            <w:pPr>
              <w:rPr>
                <w:rFonts w:ascii="Arial" w:hAnsi="Arial" w:cs="Arial"/>
                <w:lang w:val="fr-FR"/>
              </w:rPr>
            </w:pPr>
            <w:r w:rsidRPr="00A62756">
              <w:rPr>
                <w:rFonts w:ascii="Arial" w:hAnsi="Arial" w:cs="Arial"/>
                <w:lang w:val="fr-FR"/>
              </w:rPr>
              <w:t>€ 2.392</w:t>
            </w:r>
            <w:proofErr w:type="gramStart"/>
            <w:r w:rsidRPr="00A62756">
              <w:rPr>
                <w:rFonts w:ascii="Arial" w:hAnsi="Arial" w:cs="Arial"/>
                <w:lang w:val="fr-FR"/>
              </w:rPr>
              <w:t>,--</w:t>
            </w:r>
            <w:proofErr w:type="gramEnd"/>
          </w:p>
        </w:tc>
      </w:tr>
    </w:tbl>
    <w:p w:rsidR="001C33C4" w:rsidRPr="00A62756" w:rsidRDefault="001C33C4" w:rsidP="005866AB">
      <w:pPr>
        <w:spacing w:line="240" w:lineRule="auto"/>
        <w:rPr>
          <w:rFonts w:ascii="Arial" w:hAnsi="Arial" w:cs="Arial"/>
          <w:lang w:val="fr-FR"/>
        </w:rPr>
      </w:pPr>
    </w:p>
    <w:p w:rsidR="00E74C91" w:rsidRPr="00A62756" w:rsidRDefault="00A62756" w:rsidP="00E74C91">
      <w:pPr>
        <w:spacing w:line="240" w:lineRule="auto"/>
        <w:rPr>
          <w:rFonts w:ascii="Arial" w:hAnsi="Arial" w:cs="Arial"/>
          <w:lang w:val="fr-FR"/>
        </w:rPr>
      </w:pPr>
      <w:r w:rsidRPr="00A62756">
        <w:rPr>
          <w:rFonts w:ascii="Arial" w:hAnsi="Arial" w:cs="Arial"/>
          <w:lang w:val="fr-FR"/>
        </w:rPr>
        <w:t xml:space="preserve">La procédure de sélection des doctorants, </w:t>
      </w:r>
      <w:proofErr w:type="spellStart"/>
      <w:r w:rsidRPr="00A62756">
        <w:rPr>
          <w:rFonts w:ascii="Arial" w:hAnsi="Arial" w:cs="Arial"/>
          <w:lang w:val="fr-FR"/>
        </w:rPr>
        <w:t>postdoctorants</w:t>
      </w:r>
      <w:proofErr w:type="spellEnd"/>
      <w:r w:rsidRPr="00A62756">
        <w:rPr>
          <w:rFonts w:ascii="Arial" w:hAnsi="Arial" w:cs="Arial"/>
          <w:lang w:val="fr-FR"/>
        </w:rPr>
        <w:t>, enseignants-chercheurs et scientifiques voyageant est décidée en accord avec le DAAD. Une documentation sur</w:t>
      </w:r>
    </w:p>
    <w:p w:rsidR="00310A87" w:rsidRPr="00310A87" w:rsidRDefault="00310A87" w:rsidP="00310A87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l'accès / l'acquisition de connaissances sur le programme</w:t>
      </w:r>
    </w:p>
    <w:p w:rsidR="00310A87" w:rsidRPr="00310A87" w:rsidRDefault="00310A87" w:rsidP="00310A87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la nomination et la composition de la commission de sélection</w:t>
      </w:r>
    </w:p>
    <w:p w:rsidR="00310A87" w:rsidRPr="00310A87" w:rsidRDefault="00310A87" w:rsidP="00310A87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la procédure de sélection et la décision</w:t>
      </w:r>
    </w:p>
    <w:p w:rsidR="00310A87" w:rsidRPr="00310A87" w:rsidRDefault="00310A87" w:rsidP="00310A87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la confirmation de l'obtention de la bourse</w:t>
      </w:r>
    </w:p>
    <w:p w:rsidR="00E74C91" w:rsidRPr="00A62756" w:rsidRDefault="00310A87" w:rsidP="00310A87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la déclaration d'acceptation</w:t>
      </w:r>
    </w:p>
    <w:p w:rsidR="00E74C91" w:rsidRPr="00A62756" w:rsidRDefault="00310A87" w:rsidP="00E74C91">
      <w:pPr>
        <w:spacing w:line="240" w:lineRule="auto"/>
        <w:rPr>
          <w:rFonts w:ascii="Arial" w:hAnsi="Arial" w:cs="Arial"/>
          <w:lang w:val="fr-FR"/>
        </w:rPr>
      </w:pPr>
      <w:proofErr w:type="gramStart"/>
      <w:r w:rsidRPr="00310A87">
        <w:rPr>
          <w:rFonts w:ascii="Arial" w:hAnsi="Arial" w:cs="Arial"/>
          <w:lang w:val="fr-FR"/>
        </w:rPr>
        <w:t>doit</w:t>
      </w:r>
      <w:proofErr w:type="gramEnd"/>
      <w:r w:rsidRPr="00310A87">
        <w:rPr>
          <w:rFonts w:ascii="Arial" w:hAnsi="Arial" w:cs="Arial"/>
          <w:lang w:val="fr-FR"/>
        </w:rPr>
        <w:t xml:space="preserve"> figurer dans la demande et le rapport</w:t>
      </w:r>
      <w:r w:rsidR="00E74C91" w:rsidRPr="00A62756">
        <w:rPr>
          <w:rFonts w:ascii="Arial" w:hAnsi="Arial" w:cs="Arial"/>
          <w:lang w:val="fr-FR"/>
        </w:rPr>
        <w:t>.</w:t>
      </w:r>
    </w:p>
    <w:p w:rsidR="00792FC6" w:rsidRPr="00A62756" w:rsidRDefault="00310A87" w:rsidP="00E74C91">
      <w:p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 xml:space="preserve">La prise en charge des frais de déplacement s'effectue selon les dépenses effectivement réalisées et justifiées conformément à La </w:t>
      </w:r>
      <w:proofErr w:type="spellStart"/>
      <w:r w:rsidRPr="00310A87">
        <w:rPr>
          <w:rFonts w:ascii="Arial" w:hAnsi="Arial" w:cs="Arial"/>
          <w:lang w:val="fr-FR"/>
        </w:rPr>
        <w:t>Bundesreisekostengesetz</w:t>
      </w:r>
      <w:proofErr w:type="spellEnd"/>
      <w:r w:rsidRPr="00310A87">
        <w:rPr>
          <w:rFonts w:ascii="Arial" w:hAnsi="Arial" w:cs="Arial"/>
          <w:lang w:val="fr-FR"/>
        </w:rPr>
        <w:t xml:space="preserve"> (BRKG - loi allemande relative aux frais de déplacement) ou l'</w:t>
      </w:r>
      <w:proofErr w:type="spellStart"/>
      <w:r w:rsidRPr="00310A87">
        <w:rPr>
          <w:rFonts w:ascii="Arial" w:hAnsi="Arial" w:cs="Arial"/>
          <w:lang w:val="fr-FR"/>
        </w:rPr>
        <w:t>Auslandsreiseverordnung</w:t>
      </w:r>
      <w:proofErr w:type="spellEnd"/>
      <w:r w:rsidRPr="00310A87">
        <w:rPr>
          <w:rFonts w:ascii="Arial" w:hAnsi="Arial" w:cs="Arial"/>
          <w:lang w:val="fr-FR"/>
        </w:rPr>
        <w:t xml:space="preserve"> (ARV - ordonnance relative aux frais de voyage à l'étranger). Seul le billet le moins cher (en règle générale, la classe économie) est remboursable</w:t>
      </w:r>
      <w:r w:rsidR="00792FC6" w:rsidRPr="00A62756">
        <w:rPr>
          <w:rFonts w:ascii="Arial" w:hAnsi="Arial" w:cs="Arial"/>
          <w:lang w:val="fr-FR"/>
        </w:rPr>
        <w:t>.</w:t>
      </w:r>
    </w:p>
    <w:p w:rsidR="00075D18" w:rsidRPr="00310A87" w:rsidRDefault="00310A87" w:rsidP="00310A87">
      <w:pPr>
        <w:spacing w:line="240" w:lineRule="auto"/>
        <w:ind w:left="360" w:hanging="360"/>
        <w:rPr>
          <w:rFonts w:ascii="Arial" w:hAnsi="Arial" w:cs="Arial"/>
          <w:b/>
          <w:lang w:val="fr-FR"/>
        </w:rPr>
      </w:pPr>
      <w:r w:rsidRPr="00310A87">
        <w:rPr>
          <w:rFonts w:ascii="Arial" w:hAnsi="Arial" w:cs="Arial"/>
          <w:b/>
          <w:lang w:val="fr-FR"/>
        </w:rPr>
        <w:t>3.</w:t>
      </w:r>
      <w:r w:rsidRPr="00310A87">
        <w:rPr>
          <w:rFonts w:ascii="Arial" w:hAnsi="Arial" w:cs="Arial"/>
          <w:b/>
          <w:lang w:val="fr-FR"/>
        </w:rPr>
        <w:tab/>
        <w:t xml:space="preserve">Séjours de recherche en Allemagne de scientifiques et doctorants du Sénégal </w:t>
      </w:r>
    </w:p>
    <w:p w:rsidR="00AD081C" w:rsidRPr="00A62756" w:rsidRDefault="00310A87" w:rsidP="005866AB">
      <w:p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 xml:space="preserve">Mensualités accordées aux scientifiques d'un établissement supérieur sénégalais pour des séjours de recherche en Allemagne d'une durée maximale de 3 mois </w:t>
      </w:r>
      <w:r w:rsidR="00AD081C" w:rsidRPr="00A62756">
        <w:rPr>
          <w:rFonts w:ascii="Arial" w:hAnsi="Arial" w:cs="Arial"/>
          <w:lang w:val="fr-FR"/>
        </w:rPr>
        <w:t>:</w:t>
      </w:r>
    </w:p>
    <w:p w:rsidR="00AD081C" w:rsidRPr="00A62756" w:rsidRDefault="00310A87" w:rsidP="005866AB">
      <w:pPr>
        <w:spacing w:line="240" w:lineRule="auto"/>
        <w:rPr>
          <w:rFonts w:ascii="Arial" w:hAnsi="Arial" w:cs="Arial"/>
          <w:u w:val="single"/>
          <w:lang w:val="fr-FR"/>
        </w:rPr>
      </w:pPr>
      <w:r>
        <w:rPr>
          <w:rStyle w:val="Flietext"/>
          <w:lang w:val="fr-FR"/>
        </w:rPr>
        <w:t xml:space="preserve">Scientifiques </w:t>
      </w:r>
      <w:r w:rsidR="00AD081C" w:rsidRPr="00A62756">
        <w:rPr>
          <w:rFonts w:ascii="Arial" w:hAnsi="Arial" w:cs="Arial"/>
          <w:u w:val="single"/>
          <w:lang w:val="fr-FR"/>
        </w:rPr>
        <w:t xml:space="preserve">: </w:t>
      </w:r>
      <w:r w:rsidR="000609E8" w:rsidRPr="00A62756">
        <w:rPr>
          <w:rFonts w:ascii="Arial" w:hAnsi="Arial" w:cs="Arial"/>
          <w:lang w:val="fr-FR"/>
        </w:rPr>
        <w:t>€ 2.000</w:t>
      </w:r>
      <w:proofErr w:type="gramStart"/>
      <w:r w:rsidR="000609E8" w:rsidRPr="00A62756">
        <w:rPr>
          <w:rFonts w:ascii="Arial" w:hAnsi="Arial" w:cs="Arial"/>
          <w:lang w:val="fr-FR"/>
        </w:rPr>
        <w:t>,--</w:t>
      </w:r>
      <w:proofErr w:type="gramEnd"/>
    </w:p>
    <w:p w:rsidR="001C33C4" w:rsidRPr="00A62756" w:rsidRDefault="00310A87" w:rsidP="005866AB">
      <w:p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 xml:space="preserve">Mensualités accordées aux doctorants d'un établissement supérieur sénégalais pour des séjours de recherche en Allemagne d'une durée maximale de 18 mois </w:t>
      </w:r>
      <w:r w:rsidR="001C33C4" w:rsidRPr="00A62756">
        <w:rPr>
          <w:rFonts w:ascii="Arial" w:hAnsi="Arial" w:cs="Arial"/>
          <w:lang w:val="fr-FR"/>
        </w:rPr>
        <w:t>:</w:t>
      </w:r>
    </w:p>
    <w:p w:rsidR="00803512" w:rsidRPr="00A62756" w:rsidRDefault="00310A87" w:rsidP="005866AB">
      <w:p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u w:val="single"/>
          <w:lang w:val="fr-FR"/>
        </w:rPr>
        <w:t xml:space="preserve">Doctorants </w:t>
      </w:r>
      <w:r w:rsidR="00803512" w:rsidRPr="00A62756">
        <w:rPr>
          <w:rFonts w:ascii="Arial" w:hAnsi="Arial" w:cs="Arial"/>
          <w:u w:val="single"/>
          <w:lang w:val="fr-FR"/>
        </w:rPr>
        <w:t>:</w:t>
      </w:r>
      <w:r w:rsidR="00803512" w:rsidRPr="00A62756">
        <w:rPr>
          <w:rFonts w:ascii="Arial" w:hAnsi="Arial" w:cs="Arial"/>
          <w:lang w:val="fr-FR"/>
        </w:rPr>
        <w:t xml:space="preserve"> € 1.000</w:t>
      </w:r>
      <w:proofErr w:type="gramStart"/>
      <w:r w:rsidR="00803512" w:rsidRPr="00A62756">
        <w:rPr>
          <w:rFonts w:ascii="Arial" w:hAnsi="Arial" w:cs="Arial"/>
          <w:lang w:val="fr-FR"/>
        </w:rPr>
        <w:t>,--</w:t>
      </w:r>
      <w:proofErr w:type="gramEnd"/>
    </w:p>
    <w:p w:rsidR="00CC40E8" w:rsidRPr="00A62756" w:rsidRDefault="00310A87" w:rsidP="00CC40E8">
      <w:p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lastRenderedPageBreak/>
        <w:t>La procédure de sélection des scientifiques et doctorants voyageant est décidée en accord avec le DAAD. Une documentation sur</w:t>
      </w:r>
    </w:p>
    <w:p w:rsidR="00310A87" w:rsidRPr="00310A87" w:rsidRDefault="00310A87" w:rsidP="00310A87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l'accès / l'acquisition de connaissances sur le programme</w:t>
      </w:r>
    </w:p>
    <w:p w:rsidR="00310A87" w:rsidRPr="00310A87" w:rsidRDefault="00310A87" w:rsidP="00310A87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la nomination et la composition de la commission de sélection</w:t>
      </w:r>
    </w:p>
    <w:p w:rsidR="00310A87" w:rsidRPr="00310A87" w:rsidRDefault="00310A87" w:rsidP="00310A87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la procédure de sélection et la décision</w:t>
      </w:r>
    </w:p>
    <w:p w:rsidR="00310A87" w:rsidRPr="00310A87" w:rsidRDefault="00310A87" w:rsidP="00310A87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la confirmation de l'obtention de la bourse</w:t>
      </w:r>
    </w:p>
    <w:p w:rsidR="00CC40E8" w:rsidRPr="00A62756" w:rsidRDefault="00310A87" w:rsidP="00310A87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la déclaration d'acceptation</w:t>
      </w:r>
    </w:p>
    <w:p w:rsidR="00CC40E8" w:rsidRPr="00A62756" w:rsidRDefault="00310A87" w:rsidP="00CC40E8">
      <w:pPr>
        <w:spacing w:line="240" w:lineRule="auto"/>
        <w:rPr>
          <w:rFonts w:ascii="Arial" w:hAnsi="Arial" w:cs="Arial"/>
          <w:lang w:val="fr-FR"/>
        </w:rPr>
      </w:pPr>
      <w:proofErr w:type="gramStart"/>
      <w:r w:rsidRPr="00310A87">
        <w:rPr>
          <w:rFonts w:ascii="Arial" w:hAnsi="Arial" w:cs="Arial"/>
          <w:lang w:val="fr-FR"/>
        </w:rPr>
        <w:t>doit</w:t>
      </w:r>
      <w:proofErr w:type="gramEnd"/>
      <w:r w:rsidRPr="00310A87">
        <w:rPr>
          <w:rFonts w:ascii="Arial" w:hAnsi="Arial" w:cs="Arial"/>
          <w:lang w:val="fr-FR"/>
        </w:rPr>
        <w:t xml:space="preserve"> figurer dans la demande et le rapport</w:t>
      </w:r>
      <w:r w:rsidR="00CC40E8" w:rsidRPr="00A62756">
        <w:rPr>
          <w:rFonts w:ascii="Arial" w:hAnsi="Arial" w:cs="Arial"/>
          <w:lang w:val="fr-FR"/>
        </w:rPr>
        <w:t>.</w:t>
      </w:r>
    </w:p>
    <w:p w:rsidR="00130696" w:rsidRPr="00A62756" w:rsidRDefault="00130696" w:rsidP="00130696">
      <w:pPr>
        <w:pStyle w:val="KeinLeerraum"/>
        <w:rPr>
          <w:lang w:val="fr-FR"/>
        </w:rPr>
      </w:pPr>
    </w:p>
    <w:p w:rsidR="00075D18" w:rsidRPr="00A62756" w:rsidRDefault="00310A87" w:rsidP="005866AB">
      <w:p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u w:val="single"/>
          <w:lang w:val="fr-FR"/>
        </w:rPr>
        <w:t xml:space="preserve">Forfait pour les frais de déplacement </w:t>
      </w:r>
      <w:r w:rsidR="00130696" w:rsidRPr="00A62756">
        <w:rPr>
          <w:rFonts w:ascii="Arial" w:hAnsi="Arial" w:cs="Arial"/>
          <w:u w:val="single"/>
          <w:lang w:val="fr-FR"/>
        </w:rPr>
        <w:t>:</w:t>
      </w:r>
      <w:r w:rsidR="00130696" w:rsidRPr="00A62756">
        <w:rPr>
          <w:rFonts w:ascii="Arial" w:hAnsi="Arial" w:cs="Arial"/>
          <w:lang w:val="fr-FR"/>
        </w:rPr>
        <w:t xml:space="preserve"> € 775</w:t>
      </w:r>
      <w:proofErr w:type="gramStart"/>
      <w:r w:rsidR="0065599E" w:rsidRPr="00A62756">
        <w:rPr>
          <w:rFonts w:ascii="Arial" w:hAnsi="Arial" w:cs="Arial"/>
          <w:lang w:val="fr-FR"/>
        </w:rPr>
        <w:t>,--</w:t>
      </w:r>
      <w:proofErr w:type="gramEnd"/>
    </w:p>
    <w:p w:rsidR="00FF0216" w:rsidRPr="00A62756" w:rsidRDefault="00310A87" w:rsidP="005866AB">
      <w:p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Les mensualités pour l'assurance maladie, contre les accidents et de responsabilité civile sont prises en charge par le DAAD</w:t>
      </w:r>
      <w:r w:rsidR="00C6219F" w:rsidRPr="00A62756">
        <w:rPr>
          <w:rFonts w:ascii="Arial" w:hAnsi="Arial" w:cs="Arial"/>
          <w:lang w:val="fr-FR"/>
        </w:rPr>
        <w:t xml:space="preserve">. </w:t>
      </w:r>
    </w:p>
    <w:p w:rsidR="00A90B82" w:rsidRPr="00A62756" w:rsidRDefault="00310A87" w:rsidP="00310A87">
      <w:pPr>
        <w:pStyle w:val="Listenabsatz"/>
        <w:spacing w:line="240" w:lineRule="auto"/>
        <w:ind w:hanging="720"/>
        <w:rPr>
          <w:rFonts w:ascii="Arial" w:hAnsi="Arial" w:cs="Arial"/>
          <w:b/>
          <w:lang w:val="fr-FR"/>
        </w:rPr>
      </w:pPr>
      <w:r w:rsidRPr="00310A87">
        <w:rPr>
          <w:rFonts w:ascii="Arial" w:hAnsi="Arial" w:cs="Arial"/>
          <w:b/>
          <w:lang w:val="fr-FR"/>
        </w:rPr>
        <w:t>4.</w:t>
      </w:r>
      <w:r w:rsidRPr="00310A87">
        <w:rPr>
          <w:rFonts w:ascii="Arial" w:hAnsi="Arial" w:cs="Arial"/>
          <w:b/>
          <w:lang w:val="fr-FR"/>
        </w:rPr>
        <w:tab/>
        <w:t>Séjours de courte durée</w:t>
      </w:r>
    </w:p>
    <w:p w:rsidR="00A90B82" w:rsidRPr="00A62756" w:rsidRDefault="00310A87" w:rsidP="005866AB">
      <w:p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Concernant les séjours d'enseignants-chercheurs et scientifiques dans le cadre de la gestion du projet / de la participation aux congrès organisés par l'AIMS du Sénégal, vous obtenez pour un séjour de maximum 2 semaines au Sénégal les taux jour</w:t>
      </w:r>
      <w:r>
        <w:rPr>
          <w:rFonts w:ascii="Arial" w:hAnsi="Arial" w:cs="Arial"/>
          <w:lang w:val="fr-FR"/>
        </w:rPr>
        <w:t>naliers</w:t>
      </w:r>
      <w:r w:rsidR="00F235DB">
        <w:rPr>
          <w:rStyle w:val="Funotenzeichen"/>
          <w:rFonts w:ascii="Arial" w:hAnsi="Arial" w:cs="Arial"/>
          <w:lang w:val="fr-FR"/>
        </w:rPr>
        <w:footnoteReference w:id="1"/>
      </w:r>
      <w:r>
        <w:rPr>
          <w:rFonts w:ascii="Arial" w:hAnsi="Arial" w:cs="Arial"/>
          <w:lang w:val="fr-FR"/>
        </w:rPr>
        <w:t xml:space="preserve"> en vigueur </w:t>
      </w:r>
      <w:r w:rsidRPr="00310A87">
        <w:rPr>
          <w:rFonts w:ascii="Arial" w:hAnsi="Arial" w:cs="Arial"/>
          <w:lang w:val="fr-FR"/>
        </w:rPr>
        <w:t xml:space="preserve">pour les frais de séjour ainsi qu’un forfait pour les frais de voyage </w:t>
      </w:r>
      <w:r w:rsidR="0065599E" w:rsidRPr="00A62756">
        <w:rPr>
          <w:rFonts w:ascii="Arial" w:hAnsi="Arial" w:cs="Arial"/>
          <w:lang w:val="fr-FR"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783"/>
        <w:gridCol w:w="2584"/>
        <w:gridCol w:w="3006"/>
      </w:tblGrid>
      <w:tr w:rsidR="00FB7B22" w:rsidRPr="00A62756" w:rsidTr="00FB7B22">
        <w:trPr>
          <w:trHeight w:val="364"/>
        </w:trPr>
        <w:tc>
          <w:tcPr>
            <w:tcW w:w="1784" w:type="dxa"/>
          </w:tcPr>
          <w:p w:rsidR="00FB7B22" w:rsidRPr="00A62756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val="fr-FR" w:eastAsia="de-DE"/>
              </w:rPr>
            </w:pPr>
          </w:p>
        </w:tc>
        <w:tc>
          <w:tcPr>
            <w:tcW w:w="1783" w:type="dxa"/>
          </w:tcPr>
          <w:p w:rsidR="00FB7B22" w:rsidRPr="00A62756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val="fr-FR" w:eastAsia="de-DE"/>
              </w:rPr>
            </w:pP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FB7B22" w:rsidRPr="00A62756" w:rsidRDefault="00310A87" w:rsidP="006559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val="fr-FR"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u w:val="single"/>
                <w:lang w:val="fr-FR" w:eastAsia="de-DE"/>
              </w:rPr>
              <w:t>Alimentation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FB7B22" w:rsidRPr="00A62756" w:rsidRDefault="00310A87" w:rsidP="006559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val="fr-FR" w:eastAsia="de-DE"/>
              </w:rPr>
            </w:pPr>
            <w:r w:rsidRPr="00310A87">
              <w:rPr>
                <w:rFonts w:ascii="Arial" w:eastAsia="Times New Roman" w:hAnsi="Arial" w:cs="Arial"/>
                <w:bCs/>
                <w:color w:val="000000"/>
                <w:u w:val="single"/>
                <w:lang w:val="fr-FR" w:eastAsia="de-DE"/>
              </w:rPr>
              <w:t>Hébergement</w:t>
            </w:r>
          </w:p>
        </w:tc>
      </w:tr>
      <w:tr w:rsidR="00FB7B22" w:rsidRPr="00A62756" w:rsidTr="00FB7B22">
        <w:trPr>
          <w:trHeight w:val="364"/>
        </w:trPr>
        <w:tc>
          <w:tcPr>
            <w:tcW w:w="1784" w:type="dxa"/>
          </w:tcPr>
          <w:p w:rsidR="00FB7B22" w:rsidRPr="00A62756" w:rsidRDefault="00310A87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  <w:r w:rsidRPr="00310A87">
              <w:rPr>
                <w:rFonts w:ascii="Arial" w:eastAsia="Times New Roman" w:hAnsi="Arial" w:cs="Arial"/>
                <w:color w:val="000000"/>
                <w:lang w:val="fr-FR" w:eastAsia="de-DE"/>
              </w:rPr>
              <w:t>Sénégal</w:t>
            </w:r>
          </w:p>
        </w:tc>
        <w:tc>
          <w:tcPr>
            <w:tcW w:w="1783" w:type="dxa"/>
          </w:tcPr>
          <w:p w:rsidR="00FB7B22" w:rsidRPr="00A62756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FB7B22" w:rsidRPr="00A62756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  <w:r w:rsidRPr="00A62756">
              <w:rPr>
                <w:rFonts w:ascii="Arial" w:eastAsia="Times New Roman" w:hAnsi="Arial" w:cs="Arial"/>
                <w:color w:val="000000"/>
                <w:lang w:val="fr-FR" w:eastAsia="de-DE"/>
              </w:rPr>
              <w:t>€ 35</w:t>
            </w:r>
            <w:proofErr w:type="gramStart"/>
            <w:r w:rsidRPr="00A62756">
              <w:rPr>
                <w:rFonts w:ascii="Arial" w:eastAsia="Times New Roman" w:hAnsi="Arial" w:cs="Arial"/>
                <w:color w:val="000000"/>
                <w:lang w:val="fr-FR" w:eastAsia="de-DE"/>
              </w:rPr>
              <w:t>,--</w:t>
            </w:r>
            <w:proofErr w:type="gramEnd"/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FB7B22" w:rsidRPr="00A62756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  <w:r w:rsidRPr="00A62756">
              <w:rPr>
                <w:rFonts w:ascii="Arial" w:eastAsia="Times New Roman" w:hAnsi="Arial" w:cs="Arial"/>
                <w:color w:val="000000"/>
                <w:lang w:val="fr-FR" w:eastAsia="de-DE"/>
              </w:rPr>
              <w:t>€ 130</w:t>
            </w:r>
            <w:proofErr w:type="gramStart"/>
            <w:r w:rsidRPr="00A62756">
              <w:rPr>
                <w:rFonts w:ascii="Arial" w:eastAsia="Times New Roman" w:hAnsi="Arial" w:cs="Arial"/>
                <w:color w:val="000000"/>
                <w:lang w:val="fr-FR" w:eastAsia="de-DE"/>
              </w:rPr>
              <w:t>,--</w:t>
            </w:r>
            <w:proofErr w:type="gramEnd"/>
          </w:p>
        </w:tc>
      </w:tr>
      <w:tr w:rsidR="00FB7B22" w:rsidRPr="00A62756" w:rsidTr="00FB7B22">
        <w:trPr>
          <w:trHeight w:val="364"/>
        </w:trPr>
        <w:tc>
          <w:tcPr>
            <w:tcW w:w="1784" w:type="dxa"/>
          </w:tcPr>
          <w:p w:rsidR="00FB7B22" w:rsidRPr="00A62756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</w:p>
        </w:tc>
        <w:tc>
          <w:tcPr>
            <w:tcW w:w="1783" w:type="dxa"/>
          </w:tcPr>
          <w:p w:rsidR="00FB7B22" w:rsidRPr="00A62756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</w:p>
        </w:tc>
        <w:tc>
          <w:tcPr>
            <w:tcW w:w="2584" w:type="dxa"/>
            <w:shd w:val="clear" w:color="auto" w:fill="auto"/>
            <w:noWrap/>
            <w:vAlign w:val="center"/>
          </w:tcPr>
          <w:p w:rsidR="00FB7B22" w:rsidRPr="00A62756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 w:rsidR="00FB7B22" w:rsidRPr="00A62756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</w:p>
        </w:tc>
      </w:tr>
    </w:tbl>
    <w:p w:rsidR="0065599E" w:rsidRPr="00A62756" w:rsidRDefault="00310A87" w:rsidP="005866AB">
      <w:p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>La moitié de la subvention octroyée pour l'alimentation est appliquée le jour d'arrivée et de départ</w:t>
      </w:r>
      <w:r w:rsidR="00F40902" w:rsidRPr="00A62756">
        <w:rPr>
          <w:rFonts w:ascii="Arial" w:hAnsi="Arial" w:cs="Arial"/>
          <w:lang w:val="fr-FR"/>
        </w:rPr>
        <w:t>.</w:t>
      </w:r>
    </w:p>
    <w:p w:rsidR="00310A87" w:rsidRDefault="00310A87" w:rsidP="00310A87">
      <w:p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 xml:space="preserve">La prise en charge des frais de déplacement s'effectue selon les dépenses effectivement réalisées et justifiées conformément à La </w:t>
      </w:r>
      <w:proofErr w:type="spellStart"/>
      <w:r w:rsidRPr="00310A87">
        <w:rPr>
          <w:rFonts w:ascii="Arial" w:hAnsi="Arial" w:cs="Arial"/>
          <w:lang w:val="fr-FR"/>
        </w:rPr>
        <w:t>Bundesreisekostengesetz</w:t>
      </w:r>
      <w:proofErr w:type="spellEnd"/>
      <w:r w:rsidRPr="00310A87">
        <w:rPr>
          <w:rFonts w:ascii="Arial" w:hAnsi="Arial" w:cs="Arial"/>
          <w:lang w:val="fr-FR"/>
        </w:rPr>
        <w:t xml:space="preserve"> (BRKG - loi allemande relative aux frais de déplacement) ou l'</w:t>
      </w:r>
      <w:proofErr w:type="spellStart"/>
      <w:r w:rsidRPr="00310A87">
        <w:rPr>
          <w:rFonts w:ascii="Arial" w:hAnsi="Arial" w:cs="Arial"/>
          <w:lang w:val="fr-FR"/>
        </w:rPr>
        <w:t>Auslandsreiseverordnung</w:t>
      </w:r>
      <w:proofErr w:type="spellEnd"/>
      <w:r w:rsidRPr="00310A87">
        <w:rPr>
          <w:rFonts w:ascii="Arial" w:hAnsi="Arial" w:cs="Arial"/>
          <w:lang w:val="fr-FR"/>
        </w:rPr>
        <w:t xml:space="preserve"> (ARV - ordonnance relative aux frais de voyage à l'étranger). Seul le billet le moins cher (en règle générale, la classe économie) est remboursable</w:t>
      </w:r>
      <w:r w:rsidR="00F40902" w:rsidRPr="00A62756">
        <w:rPr>
          <w:rFonts w:ascii="Arial" w:hAnsi="Arial" w:cs="Arial"/>
          <w:lang w:val="fr-FR"/>
        </w:rPr>
        <w:t>.</w:t>
      </w:r>
    </w:p>
    <w:p w:rsidR="003905ED" w:rsidRPr="00310A87" w:rsidRDefault="00310A87" w:rsidP="00310A87">
      <w:p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b/>
          <w:lang w:val="fr-FR"/>
        </w:rPr>
        <w:t>5.</w:t>
      </w:r>
      <w:r w:rsidRPr="00310A87">
        <w:rPr>
          <w:rFonts w:ascii="Arial" w:hAnsi="Arial" w:cs="Arial"/>
          <w:b/>
          <w:lang w:val="fr-FR"/>
        </w:rPr>
        <w:tab/>
        <w:t>Universités d'été</w:t>
      </w:r>
    </w:p>
    <w:p w:rsidR="00002C92" w:rsidRPr="00A62756" w:rsidRDefault="00310A87" w:rsidP="005866AB">
      <w:pPr>
        <w:spacing w:line="240" w:lineRule="auto"/>
        <w:rPr>
          <w:rFonts w:ascii="Arial" w:hAnsi="Arial" w:cs="Arial"/>
          <w:lang w:val="fr-FR"/>
        </w:rPr>
      </w:pPr>
      <w:r w:rsidRPr="00310A87">
        <w:rPr>
          <w:rFonts w:ascii="Arial" w:hAnsi="Arial" w:cs="Arial"/>
          <w:lang w:val="fr-FR"/>
        </w:rPr>
        <w:t xml:space="preserve">En ce qui concerne les universités d'été regroupant des doctorants et </w:t>
      </w:r>
      <w:proofErr w:type="spellStart"/>
      <w:r w:rsidRPr="00310A87">
        <w:rPr>
          <w:rFonts w:ascii="Arial" w:hAnsi="Arial" w:cs="Arial"/>
          <w:lang w:val="fr-FR"/>
        </w:rPr>
        <w:t>postdoctorants</w:t>
      </w:r>
      <w:proofErr w:type="spellEnd"/>
      <w:r w:rsidRPr="00310A87">
        <w:rPr>
          <w:rFonts w:ascii="Arial" w:hAnsi="Arial" w:cs="Arial"/>
          <w:lang w:val="fr-FR"/>
        </w:rPr>
        <w:t xml:space="preserve"> allemands et étudiants de l'AIMS du Sénégal, une subvention de maximum 1 000 € par participant peut être accordée (par ex. frais de voyage et de séjour s'élevant à 725 €; forfait pour les frais du programme de 225 €). Les universités d'été ne doivent pas accepter plus de 20 participants et durer plus de 25 jours. Pas plus de 20 000 € peuvent être dépensés pour une université d'été. Chaque coopération universitaire peut au maximum faire la demande de deux universités d'été</w:t>
      </w:r>
      <w:r w:rsidR="00004477" w:rsidRPr="00A62756">
        <w:rPr>
          <w:rFonts w:ascii="Arial" w:hAnsi="Arial" w:cs="Arial"/>
          <w:lang w:val="fr-FR"/>
        </w:rPr>
        <w:t xml:space="preserve">. </w:t>
      </w:r>
    </w:p>
    <w:p w:rsidR="00240DDE" w:rsidRDefault="00240DDE" w:rsidP="00310A87">
      <w:pPr>
        <w:pStyle w:val="Listenabsatz"/>
        <w:spacing w:line="240" w:lineRule="auto"/>
        <w:ind w:hanging="720"/>
        <w:rPr>
          <w:rFonts w:ascii="Arial" w:hAnsi="Arial" w:cs="Arial"/>
          <w:b/>
          <w:lang w:val="fr-FR"/>
        </w:rPr>
      </w:pPr>
    </w:p>
    <w:p w:rsidR="00240DDE" w:rsidRDefault="00240DDE" w:rsidP="00310A87">
      <w:pPr>
        <w:pStyle w:val="Listenabsatz"/>
        <w:spacing w:line="240" w:lineRule="auto"/>
        <w:ind w:hanging="720"/>
        <w:rPr>
          <w:rFonts w:ascii="Arial" w:hAnsi="Arial" w:cs="Arial"/>
          <w:b/>
          <w:lang w:val="fr-FR"/>
        </w:rPr>
      </w:pPr>
    </w:p>
    <w:p w:rsidR="00240DDE" w:rsidRDefault="00240DDE" w:rsidP="00310A87">
      <w:pPr>
        <w:pStyle w:val="Listenabsatz"/>
        <w:spacing w:line="240" w:lineRule="auto"/>
        <w:ind w:hanging="720"/>
        <w:rPr>
          <w:rFonts w:ascii="Arial" w:hAnsi="Arial" w:cs="Arial"/>
          <w:b/>
          <w:lang w:val="fr-FR"/>
        </w:rPr>
      </w:pPr>
    </w:p>
    <w:p w:rsidR="00002C92" w:rsidRPr="00A62756" w:rsidRDefault="00310A87" w:rsidP="00310A87">
      <w:pPr>
        <w:pStyle w:val="Listenabsatz"/>
        <w:spacing w:line="240" w:lineRule="auto"/>
        <w:ind w:hanging="720"/>
        <w:rPr>
          <w:rFonts w:ascii="Arial" w:hAnsi="Arial" w:cs="Arial"/>
          <w:b/>
          <w:lang w:val="fr-FR"/>
        </w:rPr>
      </w:pPr>
      <w:r w:rsidRPr="00310A87">
        <w:rPr>
          <w:rFonts w:ascii="Arial" w:hAnsi="Arial" w:cs="Arial"/>
          <w:b/>
          <w:lang w:val="fr-FR"/>
        </w:rPr>
        <w:lastRenderedPageBreak/>
        <w:t>6.</w:t>
      </w:r>
      <w:r w:rsidRPr="00310A87">
        <w:rPr>
          <w:rFonts w:ascii="Arial" w:hAnsi="Arial" w:cs="Arial"/>
          <w:b/>
          <w:lang w:val="fr-FR"/>
        </w:rPr>
        <w:tab/>
        <w:t>Voyages préparatoires</w:t>
      </w:r>
    </w:p>
    <w:p w:rsidR="00002C92" w:rsidRPr="00A62756" w:rsidRDefault="00FE5598" w:rsidP="005866AB">
      <w:pPr>
        <w:spacing w:line="240" w:lineRule="auto"/>
        <w:rPr>
          <w:rFonts w:ascii="Arial" w:hAnsi="Arial" w:cs="Arial"/>
          <w:lang w:val="fr-FR"/>
        </w:rPr>
      </w:pPr>
      <w:r w:rsidRPr="00FE5598">
        <w:rPr>
          <w:rFonts w:ascii="Arial" w:hAnsi="Arial" w:cs="Arial"/>
          <w:lang w:val="fr-FR"/>
        </w:rPr>
        <w:t xml:space="preserve">Afin que les enseignants-chercheurs et scientifiques d'établissements supérieurs allemands et instituts de recherche </w:t>
      </w:r>
      <w:proofErr w:type="spellStart"/>
      <w:r w:rsidRPr="00FE5598">
        <w:rPr>
          <w:rFonts w:ascii="Arial" w:hAnsi="Arial" w:cs="Arial"/>
          <w:lang w:val="fr-FR"/>
        </w:rPr>
        <w:t>extrauniversitaires</w:t>
      </w:r>
      <w:proofErr w:type="spellEnd"/>
      <w:r w:rsidRPr="00FE5598">
        <w:rPr>
          <w:rFonts w:ascii="Arial" w:hAnsi="Arial" w:cs="Arial"/>
          <w:lang w:val="fr-FR"/>
        </w:rPr>
        <w:t>, accompagnés éventuellement d'un responsable du secteur international de l'établissement supérieur, aient la possibilité de mettre en place ou de renforcer sa collaboration avec l'AIMS du Sénégal, un voyage préparatoire</w:t>
      </w:r>
      <w:r w:rsidR="00240DDE">
        <w:rPr>
          <w:rFonts w:ascii="Arial" w:hAnsi="Arial" w:cs="Arial"/>
          <w:lang w:val="fr-FR"/>
        </w:rPr>
        <w:t xml:space="preserve"> à Mbour au Sénégal </w:t>
      </w:r>
      <w:r w:rsidRPr="00FE5598">
        <w:rPr>
          <w:rFonts w:ascii="Arial" w:hAnsi="Arial" w:cs="Arial"/>
          <w:lang w:val="fr-FR"/>
        </w:rPr>
        <w:t>peut être subventionné</w:t>
      </w:r>
      <w:r w:rsidR="00002C92" w:rsidRPr="00A62756">
        <w:rPr>
          <w:rFonts w:ascii="Arial" w:hAnsi="Arial" w:cs="Arial"/>
          <w:lang w:val="fr-FR"/>
        </w:rPr>
        <w:t>.</w:t>
      </w:r>
    </w:p>
    <w:p w:rsidR="00831EBA" w:rsidRPr="00A62756" w:rsidRDefault="00FE5598" w:rsidP="0070596B">
      <w:pPr>
        <w:spacing w:line="240" w:lineRule="auto"/>
        <w:rPr>
          <w:rFonts w:ascii="Arial" w:hAnsi="Arial" w:cs="Arial"/>
          <w:lang w:val="fr-FR"/>
        </w:rPr>
      </w:pPr>
      <w:r w:rsidRPr="00FE5598">
        <w:rPr>
          <w:rFonts w:ascii="Arial" w:hAnsi="Arial" w:cs="Arial"/>
          <w:lang w:val="fr-FR"/>
        </w:rPr>
        <w:t>Le voyage préparatoire est limité à 7 jours et doit avoir eu lieu avant le 30 juin 201</w:t>
      </w:r>
      <w:r w:rsidR="00240DDE">
        <w:rPr>
          <w:rFonts w:ascii="Arial" w:hAnsi="Arial" w:cs="Arial"/>
          <w:lang w:val="fr-FR"/>
        </w:rPr>
        <w:t>4</w:t>
      </w:r>
      <w:r w:rsidRPr="00FE5598">
        <w:rPr>
          <w:rFonts w:ascii="Arial" w:hAnsi="Arial" w:cs="Arial"/>
          <w:lang w:val="fr-FR"/>
        </w:rPr>
        <w:t xml:space="preserve"> au plus tard</w:t>
      </w:r>
      <w:r w:rsidR="00F40902" w:rsidRPr="00A62756">
        <w:rPr>
          <w:rFonts w:ascii="Arial" w:hAnsi="Arial" w:cs="Arial"/>
          <w:lang w:val="fr-FR"/>
        </w:rPr>
        <w:t xml:space="preserve">. </w:t>
      </w:r>
    </w:p>
    <w:p w:rsidR="0070596B" w:rsidRPr="00A62756" w:rsidRDefault="00FE5598" w:rsidP="0070596B">
      <w:pPr>
        <w:spacing w:line="240" w:lineRule="auto"/>
        <w:rPr>
          <w:rFonts w:ascii="Arial" w:hAnsi="Arial" w:cs="Arial"/>
          <w:lang w:val="fr-FR"/>
        </w:rPr>
      </w:pPr>
      <w:r w:rsidRPr="00FE5598">
        <w:rPr>
          <w:rFonts w:ascii="Arial" w:hAnsi="Arial" w:cs="Arial"/>
          <w:lang w:val="fr-FR"/>
        </w:rPr>
        <w:t>Les taux journal</w:t>
      </w:r>
      <w:r>
        <w:rPr>
          <w:rFonts w:ascii="Arial" w:hAnsi="Arial" w:cs="Arial"/>
          <w:lang w:val="fr-FR"/>
        </w:rPr>
        <w:t>iers</w:t>
      </w:r>
      <w:r w:rsidR="00F235DB">
        <w:rPr>
          <w:rStyle w:val="Funotenzeichen"/>
          <w:rFonts w:ascii="Arial" w:hAnsi="Arial" w:cs="Arial"/>
          <w:lang w:val="fr-FR"/>
        </w:rPr>
        <w:footnoteReference w:id="2"/>
      </w:r>
      <w:r>
        <w:rPr>
          <w:rFonts w:ascii="Arial" w:hAnsi="Arial" w:cs="Arial"/>
          <w:lang w:val="fr-FR"/>
        </w:rPr>
        <w:t xml:space="preserve"> en vigueur pour le Sénégal</w:t>
      </w:r>
      <w:r w:rsidRPr="00FE5598">
        <w:rPr>
          <w:rFonts w:ascii="Arial" w:hAnsi="Arial" w:cs="Arial"/>
          <w:lang w:val="fr-FR"/>
        </w:rPr>
        <w:t xml:space="preserve"> concernant les frais de séjour sont pris en charge par le DAAD </w:t>
      </w:r>
      <w:r w:rsidR="0070596B" w:rsidRPr="00A62756">
        <w:rPr>
          <w:rFonts w:ascii="Arial" w:hAnsi="Arial" w:cs="Arial"/>
          <w:lang w:val="fr-FR"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783"/>
        <w:gridCol w:w="2584"/>
        <w:gridCol w:w="3006"/>
      </w:tblGrid>
      <w:tr w:rsidR="00FB7B22" w:rsidRPr="00A62756" w:rsidTr="00FB7B22">
        <w:trPr>
          <w:trHeight w:val="364"/>
        </w:trPr>
        <w:tc>
          <w:tcPr>
            <w:tcW w:w="1784" w:type="dxa"/>
          </w:tcPr>
          <w:p w:rsidR="00FB7B22" w:rsidRPr="00A62756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val="fr-FR" w:eastAsia="de-DE"/>
              </w:rPr>
            </w:pPr>
          </w:p>
        </w:tc>
        <w:tc>
          <w:tcPr>
            <w:tcW w:w="1783" w:type="dxa"/>
          </w:tcPr>
          <w:p w:rsidR="00FB7B22" w:rsidRPr="00A62756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val="fr-FR" w:eastAsia="de-DE"/>
              </w:rPr>
            </w:pP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FB7B22" w:rsidRPr="00A62756" w:rsidRDefault="00FE5598" w:rsidP="00FB7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val="fr-FR" w:eastAsia="de-DE"/>
              </w:rPr>
            </w:pPr>
            <w:r w:rsidRPr="00FE5598">
              <w:rPr>
                <w:rFonts w:ascii="Arial" w:eastAsia="Times New Roman" w:hAnsi="Arial" w:cs="Arial"/>
                <w:bCs/>
                <w:color w:val="000000"/>
                <w:u w:val="single"/>
                <w:lang w:val="fr-FR" w:eastAsia="de-DE"/>
              </w:rPr>
              <w:t>Alimentation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FB7B22" w:rsidRPr="00A62756" w:rsidRDefault="00FE5598" w:rsidP="00FB7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val="fr-FR" w:eastAsia="de-DE"/>
              </w:rPr>
            </w:pPr>
            <w:r w:rsidRPr="00FE5598">
              <w:rPr>
                <w:rFonts w:ascii="Arial" w:eastAsia="Times New Roman" w:hAnsi="Arial" w:cs="Arial"/>
                <w:bCs/>
                <w:color w:val="000000"/>
                <w:u w:val="single"/>
                <w:lang w:val="fr-FR" w:eastAsia="de-DE"/>
              </w:rPr>
              <w:t>Hébergement</w:t>
            </w:r>
          </w:p>
        </w:tc>
      </w:tr>
      <w:tr w:rsidR="00FB7B22" w:rsidRPr="00A62756" w:rsidTr="00FB7B22">
        <w:trPr>
          <w:trHeight w:val="364"/>
        </w:trPr>
        <w:tc>
          <w:tcPr>
            <w:tcW w:w="1784" w:type="dxa"/>
          </w:tcPr>
          <w:p w:rsidR="00FB7B22" w:rsidRPr="00A62756" w:rsidRDefault="00FE5598" w:rsidP="00FB7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fr-FR" w:eastAsia="de-DE"/>
              </w:rPr>
              <w:t>Séné</w:t>
            </w:r>
            <w:r w:rsidR="00FB7B22" w:rsidRPr="00A62756">
              <w:rPr>
                <w:rFonts w:ascii="Arial" w:eastAsia="Times New Roman" w:hAnsi="Arial" w:cs="Arial"/>
                <w:color w:val="000000"/>
                <w:lang w:val="fr-FR" w:eastAsia="de-DE"/>
              </w:rPr>
              <w:t>gal</w:t>
            </w:r>
          </w:p>
        </w:tc>
        <w:tc>
          <w:tcPr>
            <w:tcW w:w="1783" w:type="dxa"/>
          </w:tcPr>
          <w:p w:rsidR="00FB7B22" w:rsidRPr="00A62756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FB7B22" w:rsidRPr="00A62756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  <w:r w:rsidRPr="00A62756">
              <w:rPr>
                <w:rFonts w:ascii="Arial" w:eastAsia="Times New Roman" w:hAnsi="Arial" w:cs="Arial"/>
                <w:color w:val="000000"/>
                <w:lang w:val="fr-FR" w:eastAsia="de-DE"/>
              </w:rPr>
              <w:t>€ 35</w:t>
            </w:r>
            <w:proofErr w:type="gramStart"/>
            <w:r w:rsidRPr="00A62756">
              <w:rPr>
                <w:rFonts w:ascii="Arial" w:eastAsia="Times New Roman" w:hAnsi="Arial" w:cs="Arial"/>
                <w:color w:val="000000"/>
                <w:lang w:val="fr-FR" w:eastAsia="de-DE"/>
              </w:rPr>
              <w:t>,--</w:t>
            </w:r>
            <w:proofErr w:type="gramEnd"/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FB7B22" w:rsidRPr="00A62756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  <w:r w:rsidRPr="00A62756">
              <w:rPr>
                <w:rFonts w:ascii="Arial" w:eastAsia="Times New Roman" w:hAnsi="Arial" w:cs="Arial"/>
                <w:color w:val="000000"/>
                <w:lang w:val="fr-FR" w:eastAsia="de-DE"/>
              </w:rPr>
              <w:t>€ 130</w:t>
            </w:r>
            <w:proofErr w:type="gramStart"/>
            <w:r w:rsidRPr="00A62756">
              <w:rPr>
                <w:rFonts w:ascii="Arial" w:eastAsia="Times New Roman" w:hAnsi="Arial" w:cs="Arial"/>
                <w:color w:val="000000"/>
                <w:lang w:val="fr-FR" w:eastAsia="de-DE"/>
              </w:rPr>
              <w:t>,--</w:t>
            </w:r>
            <w:proofErr w:type="gramEnd"/>
          </w:p>
        </w:tc>
      </w:tr>
      <w:tr w:rsidR="00FB7B22" w:rsidRPr="00A62756" w:rsidTr="00FB7B22">
        <w:trPr>
          <w:trHeight w:val="364"/>
        </w:trPr>
        <w:tc>
          <w:tcPr>
            <w:tcW w:w="1784" w:type="dxa"/>
          </w:tcPr>
          <w:p w:rsidR="00FB7B22" w:rsidRPr="00A62756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</w:p>
        </w:tc>
        <w:tc>
          <w:tcPr>
            <w:tcW w:w="1783" w:type="dxa"/>
          </w:tcPr>
          <w:p w:rsidR="00FB7B22" w:rsidRPr="00A62756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</w:p>
        </w:tc>
        <w:tc>
          <w:tcPr>
            <w:tcW w:w="2584" w:type="dxa"/>
            <w:shd w:val="clear" w:color="auto" w:fill="auto"/>
            <w:noWrap/>
            <w:vAlign w:val="center"/>
          </w:tcPr>
          <w:p w:rsidR="00FB7B22" w:rsidRPr="00A62756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 w:rsidR="00FB7B22" w:rsidRPr="00A62756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</w:p>
        </w:tc>
      </w:tr>
    </w:tbl>
    <w:p w:rsidR="0070596B" w:rsidRPr="00A62756" w:rsidRDefault="00FE5598" w:rsidP="00160901">
      <w:pPr>
        <w:pStyle w:val="KeinLeerraum"/>
        <w:rPr>
          <w:rFonts w:ascii="Arial" w:hAnsi="Arial" w:cs="Arial"/>
          <w:lang w:val="fr-FR"/>
        </w:rPr>
      </w:pPr>
      <w:bookmarkStart w:id="0" w:name="_GoBack"/>
      <w:bookmarkEnd w:id="0"/>
      <w:r w:rsidRPr="00FE5598">
        <w:rPr>
          <w:rFonts w:ascii="Arial" w:hAnsi="Arial" w:cs="Arial"/>
          <w:lang w:val="fr-FR"/>
        </w:rPr>
        <w:t>La moitié de la subvention octroyée pour l'alimentation est appliquée le jour d'arrivée et de départ</w:t>
      </w:r>
      <w:r w:rsidR="0070596B" w:rsidRPr="00A62756">
        <w:rPr>
          <w:rFonts w:ascii="Arial" w:hAnsi="Arial" w:cs="Arial"/>
          <w:lang w:val="fr-FR"/>
        </w:rPr>
        <w:t>.</w:t>
      </w:r>
    </w:p>
    <w:p w:rsidR="00F40902" w:rsidRPr="00A62756" w:rsidRDefault="00F40902" w:rsidP="00160901">
      <w:pPr>
        <w:pStyle w:val="KeinLeerraum"/>
        <w:rPr>
          <w:rFonts w:ascii="Arial" w:hAnsi="Arial" w:cs="Arial"/>
          <w:lang w:val="fr-FR"/>
        </w:rPr>
      </w:pPr>
    </w:p>
    <w:p w:rsidR="00F40902" w:rsidRPr="00A62756" w:rsidRDefault="00FE5598" w:rsidP="00160901">
      <w:pPr>
        <w:pStyle w:val="KeinLeerraum"/>
        <w:rPr>
          <w:rFonts w:ascii="Arial" w:hAnsi="Arial" w:cs="Arial"/>
          <w:lang w:val="fr-FR"/>
        </w:rPr>
      </w:pPr>
      <w:r w:rsidRPr="00FE5598">
        <w:rPr>
          <w:rFonts w:ascii="Arial" w:hAnsi="Arial" w:cs="Arial"/>
          <w:lang w:val="fr-FR"/>
        </w:rPr>
        <w:t xml:space="preserve">La prise en charge des frais de déplacement s'effectue selon les dépenses effectivement réalisées et justifiées conformément à La </w:t>
      </w:r>
      <w:proofErr w:type="spellStart"/>
      <w:r w:rsidRPr="00FE5598">
        <w:rPr>
          <w:rFonts w:ascii="Arial" w:hAnsi="Arial" w:cs="Arial"/>
          <w:lang w:val="fr-FR"/>
        </w:rPr>
        <w:t>Bundesreisekostengesetz</w:t>
      </w:r>
      <w:proofErr w:type="spellEnd"/>
      <w:r w:rsidRPr="00FE5598">
        <w:rPr>
          <w:rFonts w:ascii="Arial" w:hAnsi="Arial" w:cs="Arial"/>
          <w:lang w:val="fr-FR"/>
        </w:rPr>
        <w:t xml:space="preserve"> (BRKG - loi allemande relative aux frais de déplacement) ou l'</w:t>
      </w:r>
      <w:proofErr w:type="spellStart"/>
      <w:r w:rsidRPr="00FE5598">
        <w:rPr>
          <w:rFonts w:ascii="Arial" w:hAnsi="Arial" w:cs="Arial"/>
          <w:lang w:val="fr-FR"/>
        </w:rPr>
        <w:t>Auslandsreiseverordnung</w:t>
      </w:r>
      <w:proofErr w:type="spellEnd"/>
      <w:r w:rsidRPr="00FE5598">
        <w:rPr>
          <w:rFonts w:ascii="Arial" w:hAnsi="Arial" w:cs="Arial"/>
          <w:lang w:val="fr-FR"/>
        </w:rPr>
        <w:t xml:space="preserve"> (ARV - ordonnance relative aux frais de voyage à l'étranger). Seul le billet le moins cher (en règle générale, la classe économie) est remboursable</w:t>
      </w:r>
      <w:r w:rsidR="00F40902" w:rsidRPr="00A62756">
        <w:rPr>
          <w:rFonts w:ascii="Arial" w:hAnsi="Arial" w:cs="Arial"/>
          <w:lang w:val="fr-FR"/>
        </w:rPr>
        <w:t>.</w:t>
      </w:r>
    </w:p>
    <w:p w:rsidR="00F40902" w:rsidRPr="00A62756" w:rsidRDefault="00F40902" w:rsidP="00160901">
      <w:pPr>
        <w:pStyle w:val="KeinLeerraum"/>
        <w:rPr>
          <w:rFonts w:ascii="Arial" w:hAnsi="Arial" w:cs="Arial"/>
          <w:lang w:val="fr-FR"/>
        </w:rPr>
      </w:pPr>
    </w:p>
    <w:p w:rsidR="004C70ED" w:rsidRPr="00A62756" w:rsidRDefault="00FE5598" w:rsidP="00160901">
      <w:pPr>
        <w:pStyle w:val="KeinLeerraum"/>
        <w:rPr>
          <w:lang w:val="fr-FR"/>
        </w:rPr>
      </w:pPr>
      <w:r w:rsidRPr="00FE5598">
        <w:rPr>
          <w:rFonts w:ascii="Arial" w:hAnsi="Arial" w:cs="Arial"/>
          <w:lang w:val="fr-FR"/>
        </w:rPr>
        <w:t>La bourse s'effectue par le biais d'une lettre d'autorisation</w:t>
      </w:r>
      <w:r w:rsidR="004C70ED" w:rsidRPr="00A62756">
        <w:rPr>
          <w:rFonts w:ascii="Arial" w:hAnsi="Arial" w:cs="Arial"/>
          <w:lang w:val="fr-FR"/>
        </w:rPr>
        <w:t>.</w:t>
      </w:r>
    </w:p>
    <w:p w:rsidR="00831EBA" w:rsidRPr="00A62756" w:rsidRDefault="00831EBA" w:rsidP="005866AB">
      <w:pPr>
        <w:spacing w:line="240" w:lineRule="auto"/>
        <w:rPr>
          <w:rFonts w:ascii="Arial" w:hAnsi="Arial" w:cs="Arial"/>
          <w:lang w:val="fr-FR"/>
        </w:rPr>
      </w:pPr>
    </w:p>
    <w:p w:rsidR="006F0B70" w:rsidRPr="00A62756" w:rsidRDefault="00FE5598" w:rsidP="00831EBA">
      <w:pPr>
        <w:spacing w:line="240" w:lineRule="auto"/>
        <w:jc w:val="right"/>
        <w:rPr>
          <w:rFonts w:ascii="Arial" w:hAnsi="Arial" w:cs="Arial"/>
          <w:lang w:val="fr-FR"/>
        </w:rPr>
      </w:pPr>
      <w:r w:rsidRPr="00FE5598">
        <w:rPr>
          <w:rFonts w:ascii="Arial" w:hAnsi="Arial" w:cs="Arial"/>
          <w:lang w:val="fr-FR"/>
        </w:rPr>
        <w:t xml:space="preserve">Promu par </w:t>
      </w:r>
      <w:r w:rsidR="006F0B70" w:rsidRPr="00A62756">
        <w:rPr>
          <w:rFonts w:ascii="Arial" w:hAnsi="Arial" w:cs="Arial"/>
          <w:lang w:val="fr-FR"/>
        </w:rPr>
        <w:t>:</w:t>
      </w:r>
    </w:p>
    <w:p w:rsidR="006F0B70" w:rsidRPr="00A62756" w:rsidRDefault="006F0B70" w:rsidP="00831EBA">
      <w:pPr>
        <w:jc w:val="right"/>
        <w:rPr>
          <w:rFonts w:ascii="Arial" w:hAnsi="Arial" w:cs="Arial"/>
          <w:lang w:val="fr-FR"/>
        </w:rPr>
      </w:pPr>
      <w:r w:rsidRPr="00A62756">
        <w:rPr>
          <w:rFonts w:ascii="Arial" w:hAnsi="Arial"/>
          <w:noProof/>
          <w:sz w:val="16"/>
          <w:lang w:eastAsia="de-DE"/>
        </w:rPr>
        <w:drawing>
          <wp:inline distT="0" distB="0" distL="0" distR="0">
            <wp:extent cx="1574800" cy="811840"/>
            <wp:effectExtent l="0" t="0" r="6350" b="7620"/>
            <wp:docPr id="1" name="Picture 12" descr="756px-BMB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4" name="Picture 12" descr="756px-BMBF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32" cy="8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F0B70" w:rsidRPr="00A62756" w:rsidSect="000609E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78" w:rsidRDefault="001D1778" w:rsidP="009606A1">
      <w:pPr>
        <w:spacing w:after="0" w:line="240" w:lineRule="auto"/>
      </w:pPr>
      <w:r>
        <w:separator/>
      </w:r>
    </w:p>
  </w:endnote>
  <w:endnote w:type="continuationSeparator" w:id="0">
    <w:p w:rsidR="001D1778" w:rsidRDefault="001D1778" w:rsidP="0096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190019"/>
      <w:docPartObj>
        <w:docPartGallery w:val="Page Numbers (Bottom of Page)"/>
        <w:docPartUnique/>
      </w:docPartObj>
    </w:sdtPr>
    <w:sdtEndPr/>
    <w:sdtContent>
      <w:p w:rsidR="00C6219F" w:rsidRDefault="000609E8">
        <w:pPr>
          <w:pStyle w:val="Fuzeile"/>
          <w:jc w:val="right"/>
        </w:pPr>
        <w:r>
          <w:fldChar w:fldCharType="begin"/>
        </w:r>
        <w:r w:rsidR="00C6219F">
          <w:instrText>PAGE   \* MERGEFORMAT</w:instrText>
        </w:r>
        <w:r>
          <w:fldChar w:fldCharType="separate"/>
        </w:r>
        <w:r w:rsidR="00240DDE">
          <w:rPr>
            <w:noProof/>
          </w:rPr>
          <w:t>1</w:t>
        </w:r>
        <w:r>
          <w:fldChar w:fldCharType="end"/>
        </w:r>
      </w:p>
    </w:sdtContent>
  </w:sdt>
  <w:p w:rsidR="00C6219F" w:rsidRDefault="00C621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78" w:rsidRDefault="001D1778" w:rsidP="009606A1">
      <w:pPr>
        <w:spacing w:after="0" w:line="240" w:lineRule="auto"/>
      </w:pPr>
      <w:r>
        <w:separator/>
      </w:r>
    </w:p>
  </w:footnote>
  <w:footnote w:type="continuationSeparator" w:id="0">
    <w:p w:rsidR="001D1778" w:rsidRDefault="001D1778" w:rsidP="009606A1">
      <w:pPr>
        <w:spacing w:after="0" w:line="240" w:lineRule="auto"/>
      </w:pPr>
      <w:r>
        <w:continuationSeparator/>
      </w:r>
    </w:p>
  </w:footnote>
  <w:footnote w:id="1">
    <w:p w:rsidR="00F235DB" w:rsidRPr="00F235DB" w:rsidRDefault="00F235DB">
      <w:pPr>
        <w:pStyle w:val="Funotentext"/>
        <w:rPr>
          <w:lang w:val="fr-FR"/>
        </w:rPr>
      </w:pPr>
      <w:r w:rsidRPr="00F235DB">
        <w:rPr>
          <w:rStyle w:val="Funotenzeichen"/>
          <w:lang w:val="fr-FR"/>
        </w:rPr>
        <w:footnoteRef/>
      </w:r>
      <w:r w:rsidRPr="00F235DB">
        <w:rPr>
          <w:lang w:val="fr-FR"/>
        </w:rPr>
        <w:t xml:space="preserve"> Voici les subventions en vigueur depuis le 1er janvier 2013 concernant les dépenses alimentaires supplémentaires et les frais d'hébergement par jour (selon la BRKG)</w:t>
      </w:r>
    </w:p>
  </w:footnote>
  <w:footnote w:id="2">
    <w:p w:rsidR="00F235DB" w:rsidRPr="00F235DB" w:rsidRDefault="00F235DB">
      <w:pPr>
        <w:pStyle w:val="Funotentext"/>
        <w:rPr>
          <w:lang w:val="fr-FR"/>
        </w:rPr>
      </w:pPr>
      <w:r w:rsidRPr="00F235DB">
        <w:rPr>
          <w:rStyle w:val="Funotenzeichen"/>
          <w:lang w:val="fr-FR"/>
        </w:rPr>
        <w:footnoteRef/>
      </w:r>
      <w:r w:rsidRPr="00F235DB">
        <w:rPr>
          <w:lang w:val="fr-FR"/>
        </w:rPr>
        <w:t xml:space="preserve"> Voici les subventions en vigueur depuis le 1er janvier 2013 concernant les dépenses alimentaires supplémentaires et les frais d'hébergement par jour (selon la BRKG)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9F" w:rsidRPr="009606A1" w:rsidRDefault="00C6219F" w:rsidP="009606A1">
    <w:pPr>
      <w:rPr>
        <w:rFonts w:ascii="Times New Roman" w:eastAsia="Times New Roman" w:hAnsi="Times New Roman" w:cs="Times New Roman"/>
        <w:sz w:val="20"/>
        <w:szCs w:val="20"/>
        <w:lang w:eastAsia="de-DE"/>
      </w:rPr>
    </w:pPr>
  </w:p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240"/>
      <w:gridCol w:w="4961"/>
    </w:tblGrid>
    <w:tr w:rsidR="00C6219F" w:rsidRPr="009606A1" w:rsidTr="00010B55">
      <w:trPr>
        <w:trHeight w:hRule="exact" w:val="707"/>
      </w:trPr>
      <w:tc>
        <w:tcPr>
          <w:tcW w:w="2438" w:type="dxa"/>
        </w:tcPr>
        <w:p w:rsidR="00C6219F" w:rsidRPr="009606A1" w:rsidRDefault="00C6219F" w:rsidP="009606A1">
          <w:pPr>
            <w:keepNext/>
            <w:spacing w:after="0" w:line="360" w:lineRule="auto"/>
            <w:outlineLvl w:val="5"/>
            <w:rPr>
              <w:rFonts w:ascii="Univers" w:eastAsia="Times New Roman" w:hAnsi="Univers" w:cs="Times New Roman"/>
              <w:b/>
              <w:bCs/>
              <w:color w:val="808080"/>
              <w:sz w:val="56"/>
              <w:szCs w:val="20"/>
              <w:lang w:eastAsia="de-DE"/>
            </w:rPr>
          </w:pPr>
        </w:p>
      </w:tc>
      <w:tc>
        <w:tcPr>
          <w:tcW w:w="2240" w:type="dxa"/>
        </w:tcPr>
        <w:p w:rsidR="00C6219F" w:rsidRPr="009606A1" w:rsidRDefault="00C6219F" w:rsidP="009606A1">
          <w:pPr>
            <w:keepNext/>
            <w:spacing w:after="0" w:line="240" w:lineRule="auto"/>
            <w:outlineLvl w:val="4"/>
            <w:rPr>
              <w:rFonts w:ascii="Univers" w:eastAsia="Times New Roman" w:hAnsi="Univers" w:cs="Times New Roman"/>
              <w:b/>
              <w:color w:val="808080"/>
              <w:sz w:val="60"/>
              <w:szCs w:val="20"/>
              <w:lang w:eastAsia="de-DE"/>
            </w:rPr>
          </w:pPr>
          <w:r w:rsidRPr="009606A1">
            <w:rPr>
              <w:rFonts w:ascii="Univers" w:eastAsia="Times New Roman" w:hAnsi="Univers" w:cs="Times New Roman"/>
              <w:b/>
              <w:color w:val="808080"/>
              <w:sz w:val="60"/>
              <w:szCs w:val="20"/>
              <w:lang w:eastAsia="de-DE"/>
            </w:rPr>
            <w:t>DAAD</w:t>
          </w:r>
        </w:p>
      </w:tc>
      <w:tc>
        <w:tcPr>
          <w:tcW w:w="4961" w:type="dxa"/>
        </w:tcPr>
        <w:p w:rsidR="00C6219F" w:rsidRPr="009606A1" w:rsidRDefault="00C6219F" w:rsidP="009606A1">
          <w:pPr>
            <w:tabs>
              <w:tab w:val="right" w:pos="4876"/>
            </w:tabs>
            <w:spacing w:before="120" w:after="0" w:line="240" w:lineRule="exact"/>
            <w:outlineLvl w:val="1"/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</w:pPr>
          <w:r w:rsidRPr="009606A1"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  <w:t>DeutscherAkademischerAustauschDienst</w:t>
          </w:r>
        </w:p>
        <w:p w:rsidR="00C6219F" w:rsidRPr="009606A1" w:rsidRDefault="00310A87" w:rsidP="00310A87">
          <w:pPr>
            <w:tabs>
              <w:tab w:val="right" w:pos="4876"/>
            </w:tabs>
            <w:spacing w:before="40" w:after="0" w:line="240" w:lineRule="exact"/>
            <w:outlineLvl w:val="1"/>
            <w:rPr>
              <w:rFonts w:ascii="Univers" w:eastAsia="Times New Roman" w:hAnsi="Univers" w:cs="Times New Roman"/>
              <w:b/>
              <w:sz w:val="24"/>
              <w:szCs w:val="20"/>
              <w:lang w:eastAsia="de-DE"/>
            </w:rPr>
          </w:pPr>
          <w:r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  <w:t xml:space="preserve">Office </w:t>
          </w:r>
          <w:proofErr w:type="spellStart"/>
          <w:r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  <w:t>allemand</w:t>
          </w:r>
          <w:proofErr w:type="spellEnd"/>
          <w:r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  <w:t xml:space="preserve"> </w:t>
          </w:r>
          <w:proofErr w:type="spellStart"/>
          <w:r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  <w:t>d’échanges</w:t>
          </w:r>
          <w:proofErr w:type="spellEnd"/>
          <w:r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  <w:t xml:space="preserve"> </w:t>
          </w:r>
          <w:proofErr w:type="spellStart"/>
          <w:r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  <w:t>universitaires</w:t>
          </w:r>
          <w:proofErr w:type="spellEnd"/>
        </w:p>
      </w:tc>
    </w:tr>
  </w:tbl>
  <w:p w:rsidR="00C6219F" w:rsidRDefault="00C6219F">
    <w:pPr>
      <w:pStyle w:val="Kopfzeile"/>
    </w:pPr>
  </w:p>
  <w:p w:rsidR="00C6219F" w:rsidRDefault="00C621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36D"/>
    <w:multiLevelType w:val="hybridMultilevel"/>
    <w:tmpl w:val="B24EE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3C8D"/>
    <w:multiLevelType w:val="hybridMultilevel"/>
    <w:tmpl w:val="E820A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95FA0"/>
    <w:multiLevelType w:val="hybridMultilevel"/>
    <w:tmpl w:val="C74A046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5A3C"/>
    <w:multiLevelType w:val="hybridMultilevel"/>
    <w:tmpl w:val="E0E2C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6A1"/>
    <w:rsid w:val="00002C92"/>
    <w:rsid w:val="00004477"/>
    <w:rsid w:val="00010B55"/>
    <w:rsid w:val="000609E8"/>
    <w:rsid w:val="00075D18"/>
    <w:rsid w:val="00102496"/>
    <w:rsid w:val="00130696"/>
    <w:rsid w:val="00160901"/>
    <w:rsid w:val="001732D2"/>
    <w:rsid w:val="001C33C4"/>
    <w:rsid w:val="001D1778"/>
    <w:rsid w:val="001D4823"/>
    <w:rsid w:val="00240DDE"/>
    <w:rsid w:val="0025166C"/>
    <w:rsid w:val="002B5AB7"/>
    <w:rsid w:val="002F0097"/>
    <w:rsid w:val="00310A87"/>
    <w:rsid w:val="003905ED"/>
    <w:rsid w:val="003A607D"/>
    <w:rsid w:val="003D316A"/>
    <w:rsid w:val="004632F1"/>
    <w:rsid w:val="00475972"/>
    <w:rsid w:val="004A47BD"/>
    <w:rsid w:val="004C70ED"/>
    <w:rsid w:val="005253C6"/>
    <w:rsid w:val="005379E0"/>
    <w:rsid w:val="005739C1"/>
    <w:rsid w:val="005866AB"/>
    <w:rsid w:val="0065599E"/>
    <w:rsid w:val="0068685D"/>
    <w:rsid w:val="006F0B70"/>
    <w:rsid w:val="0070596B"/>
    <w:rsid w:val="00731292"/>
    <w:rsid w:val="00792FC6"/>
    <w:rsid w:val="00801F14"/>
    <w:rsid w:val="00803512"/>
    <w:rsid w:val="00831EBA"/>
    <w:rsid w:val="00886061"/>
    <w:rsid w:val="008933C6"/>
    <w:rsid w:val="008950AD"/>
    <w:rsid w:val="008C2A75"/>
    <w:rsid w:val="009606A1"/>
    <w:rsid w:val="009D2F08"/>
    <w:rsid w:val="009F15BB"/>
    <w:rsid w:val="00A62756"/>
    <w:rsid w:val="00A90B82"/>
    <w:rsid w:val="00AA00DD"/>
    <w:rsid w:val="00AD081C"/>
    <w:rsid w:val="00BC15F6"/>
    <w:rsid w:val="00C27B40"/>
    <w:rsid w:val="00C6219F"/>
    <w:rsid w:val="00CC40E8"/>
    <w:rsid w:val="00CD57EE"/>
    <w:rsid w:val="00CE1597"/>
    <w:rsid w:val="00DB15CE"/>
    <w:rsid w:val="00E74C91"/>
    <w:rsid w:val="00F02743"/>
    <w:rsid w:val="00F22CAF"/>
    <w:rsid w:val="00F235DB"/>
    <w:rsid w:val="00F40902"/>
    <w:rsid w:val="00F42DD1"/>
    <w:rsid w:val="00F52C29"/>
    <w:rsid w:val="00F97AFC"/>
    <w:rsid w:val="00FA019A"/>
    <w:rsid w:val="00FB7B22"/>
    <w:rsid w:val="00FE5598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B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6A1"/>
  </w:style>
  <w:style w:type="paragraph" w:styleId="Fuzeile">
    <w:name w:val="footer"/>
    <w:basedOn w:val="Standard"/>
    <w:link w:val="FuzeileZchn"/>
    <w:uiPriority w:val="99"/>
    <w:unhideWhenUsed/>
    <w:rsid w:val="0096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6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6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0B5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C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866AB"/>
    <w:pPr>
      <w:ind w:left="720"/>
      <w:contextualSpacing/>
    </w:pPr>
  </w:style>
  <w:style w:type="paragraph" w:styleId="KeinLeerraum">
    <w:name w:val="No Spacing"/>
    <w:uiPriority w:val="1"/>
    <w:qFormat/>
    <w:rsid w:val="00130696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31E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1E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1EB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1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16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16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16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166C"/>
    <w:rPr>
      <w:b/>
      <w:bCs/>
      <w:sz w:val="20"/>
      <w:szCs w:val="20"/>
    </w:rPr>
  </w:style>
  <w:style w:type="character" w:customStyle="1" w:styleId="Flietext">
    <w:name w:val="Fließtext"/>
    <w:basedOn w:val="Absatz-Standardschriftart"/>
    <w:rsid w:val="00A627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B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6A1"/>
  </w:style>
  <w:style w:type="paragraph" w:styleId="Fuzeile">
    <w:name w:val="footer"/>
    <w:basedOn w:val="Standard"/>
    <w:link w:val="FuzeileZchn"/>
    <w:uiPriority w:val="99"/>
    <w:unhideWhenUsed/>
    <w:rsid w:val="0096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6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6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0B5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C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866AB"/>
    <w:pPr>
      <w:ind w:left="720"/>
      <w:contextualSpacing/>
    </w:pPr>
  </w:style>
  <w:style w:type="paragraph" w:styleId="KeinLeerraum">
    <w:name w:val="No Spacing"/>
    <w:uiPriority w:val="1"/>
    <w:qFormat/>
    <w:rsid w:val="00130696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31E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1E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1EB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1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16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16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16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1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6AA5D4-1D92-432D-BC3F-ACC39507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54A9E664.dotm</Template>
  <TotalTime>0</TotalTime>
  <Pages>3</Pages>
  <Words>758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Hörig</dc:creator>
  <cp:lastModifiedBy>Christine Butter</cp:lastModifiedBy>
  <cp:revision>6</cp:revision>
  <cp:lastPrinted>2013-03-06T10:40:00Z</cp:lastPrinted>
  <dcterms:created xsi:type="dcterms:W3CDTF">2013-08-06T18:39:00Z</dcterms:created>
  <dcterms:modified xsi:type="dcterms:W3CDTF">2014-03-13T07:49:00Z</dcterms:modified>
</cp:coreProperties>
</file>